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9" w:type="dxa"/>
        <w:tblInd w:w="-746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059"/>
        <w:gridCol w:w="4908"/>
        <w:gridCol w:w="7175"/>
      </w:tblGrid>
      <w:tr w:rsidR="004E7855" w:rsidTr="00A44694">
        <w:trPr>
          <w:trHeight w:val="786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:rsidR="004E7855" w:rsidRDefault="004E7855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4E7855">
            <w:pPr>
              <w:widowControl/>
              <w:shd w:val="clear" w:color="auto" w:fill="FFFFFF"/>
              <w:spacing w:before="210" w:after="210" w:line="285" w:lineRule="atLeast"/>
              <w:jc w:val="left"/>
              <w:rPr>
                <w:rFonts w:ascii="微软雅黑" w:eastAsia="微软雅黑" w:hAnsi="微软雅黑" w:cs="微软雅黑"/>
                <w:color w:val="555555"/>
                <w:szCs w:val="21"/>
              </w:rPr>
            </w:pPr>
          </w:p>
        </w:tc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7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本科</w:t>
            </w:r>
          </w:p>
        </w:tc>
      </w:tr>
      <w:tr w:rsidR="004E7855" w:rsidTr="00A44694"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18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计算机（软件）类</w:t>
            </w:r>
          </w:p>
        </w:tc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计算机软件与理论</w:t>
            </w:r>
          </w:p>
        </w:tc>
        <w:tc>
          <w:tcPr>
            <w:tcW w:w="7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计算机软件，软件工程，计算机应用软件</w:t>
            </w:r>
          </w:p>
        </w:tc>
      </w:tr>
      <w:tr w:rsidR="004E7855" w:rsidTr="00A44694"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19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计算机（网络管理）类</w:t>
            </w:r>
          </w:p>
        </w:tc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555555"/>
                <w:kern w:val="0"/>
                <w:szCs w:val="21"/>
                <w:lang w:bidi="ar"/>
              </w:rPr>
              <w:t> </w:t>
            </w:r>
          </w:p>
        </w:tc>
        <w:tc>
          <w:tcPr>
            <w:tcW w:w="7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网络工程，物联网工程，信息安全，计算机网络工程</w:t>
            </w:r>
          </w:p>
        </w:tc>
      </w:tr>
      <w:tr w:rsidR="004E7855" w:rsidTr="00A44694"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20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center"/>
              <w:rPr>
                <w:color w:val="555555"/>
                <w:szCs w:val="21"/>
              </w:rPr>
            </w:pPr>
            <w:r>
              <w:rPr>
                <w:rFonts w:ascii="黑体" w:eastAsia="黑体" w:hAnsi="微软雅黑" w:cs="黑体" w:hint="eastAsia"/>
                <w:color w:val="555555"/>
                <w:kern w:val="0"/>
                <w:szCs w:val="21"/>
                <w:lang w:bidi="ar"/>
              </w:rPr>
              <w:t>电子信息类</w:t>
            </w:r>
          </w:p>
        </w:tc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物理电子学，电路与系统，微电子学与固体电子学，电磁场与微波技术，通信与信息系统，信号与信息处理，电子与通信工程，信息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与通信工程</w:t>
            </w:r>
          </w:p>
        </w:tc>
        <w:tc>
          <w:tcPr>
            <w:tcW w:w="7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</w:tcPr>
          <w:p w:rsidR="004E7855" w:rsidRDefault="0036656C">
            <w:pPr>
              <w:widowControl/>
              <w:spacing w:before="210" w:after="210" w:line="294" w:lineRule="atLeast"/>
              <w:jc w:val="left"/>
              <w:rPr>
                <w:color w:val="555555"/>
                <w:szCs w:val="21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Cs w:val="21"/>
                <w:lang w:bidi="ar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与计算科学，信息技术应用与管理，会计信息技术，电子工程，电子信息技术，电子信息，生物医学工程</w:t>
            </w:r>
          </w:p>
        </w:tc>
      </w:tr>
    </w:tbl>
    <w:p w:rsidR="004E7855" w:rsidRDefault="004E7855"/>
    <w:sectPr w:rsidR="004E7855"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26" w:rsidRDefault="00557B26" w:rsidP="00695236">
      <w:r>
        <w:separator/>
      </w:r>
    </w:p>
  </w:endnote>
  <w:endnote w:type="continuationSeparator" w:id="0">
    <w:p w:rsidR="00557B26" w:rsidRDefault="00557B26" w:rsidP="006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26" w:rsidRDefault="00557B26" w:rsidP="00695236">
      <w:r>
        <w:separator/>
      </w:r>
    </w:p>
  </w:footnote>
  <w:footnote w:type="continuationSeparator" w:id="0">
    <w:p w:rsidR="00557B26" w:rsidRDefault="00557B26" w:rsidP="0069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41F53"/>
    <w:rsid w:val="0036656C"/>
    <w:rsid w:val="004E7855"/>
    <w:rsid w:val="00557B26"/>
    <w:rsid w:val="00695236"/>
    <w:rsid w:val="00A44694"/>
    <w:rsid w:val="0EF6613F"/>
    <w:rsid w:val="35B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69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52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9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52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69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52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9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52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周玲</cp:lastModifiedBy>
  <cp:revision>3</cp:revision>
  <cp:lastPrinted>2017-03-12T08:24:00Z</cp:lastPrinted>
  <dcterms:created xsi:type="dcterms:W3CDTF">2018-06-27T02:25:00Z</dcterms:created>
  <dcterms:modified xsi:type="dcterms:W3CDTF">2018-06-27T02:27:00Z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